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0ADB3" w14:textId="16209772" w:rsidR="00A52802" w:rsidRPr="00A52802" w:rsidRDefault="00A52802" w:rsidP="00A52802">
      <w:pPr>
        <w:rPr>
          <w:b/>
        </w:rPr>
      </w:pPr>
      <w:r w:rsidRPr="00A52802">
        <w:rPr>
          <w:b/>
        </w:rPr>
        <w:t>Załącznik Nr 2 do formularza ofert</w:t>
      </w:r>
      <w:r w:rsidR="004E7F1B">
        <w:rPr>
          <w:b/>
        </w:rPr>
        <w:t>y</w:t>
      </w:r>
    </w:p>
    <w:p w14:paraId="5F246918" w14:textId="77777777" w:rsidR="00A52802" w:rsidRPr="00A52802" w:rsidRDefault="00A52802" w:rsidP="00A52802">
      <w:pPr>
        <w:jc w:val="both"/>
        <w:rPr>
          <w:b/>
        </w:rPr>
      </w:pPr>
    </w:p>
    <w:p w14:paraId="12E098FC" w14:textId="77777777" w:rsidR="00A52802" w:rsidRPr="00636558" w:rsidRDefault="00A52802" w:rsidP="00A52802">
      <w:pPr>
        <w:jc w:val="both"/>
        <w:rPr>
          <w:b/>
        </w:rPr>
      </w:pPr>
      <w:r w:rsidRPr="00A52802">
        <w:rPr>
          <w:b/>
        </w:rPr>
        <w:t>Kryteria oceny oraz wybór oferty</w:t>
      </w:r>
      <w:r w:rsidRPr="00636558">
        <w:rPr>
          <w:b/>
        </w:rPr>
        <w:t xml:space="preserve"> </w:t>
      </w:r>
    </w:p>
    <w:p w14:paraId="4D59B82A" w14:textId="77777777" w:rsidR="00A52802" w:rsidRDefault="00A52802" w:rsidP="00A52802">
      <w:pPr>
        <w:jc w:val="both"/>
      </w:pPr>
    </w:p>
    <w:p w14:paraId="05FAFB14" w14:textId="77777777" w:rsidR="00A52802" w:rsidRDefault="00A52802" w:rsidP="00A52802">
      <w:pPr>
        <w:jc w:val="both"/>
      </w:pPr>
      <w:r>
        <w:t xml:space="preserve">1. Wyboru Zamawiający dokona na podstawie porównania i oceny przedstawionych ofert. </w:t>
      </w:r>
    </w:p>
    <w:p w14:paraId="087EDD40" w14:textId="77777777" w:rsidR="00A52802" w:rsidRDefault="00A52802" w:rsidP="00A52802">
      <w:pPr>
        <w:jc w:val="both"/>
      </w:pPr>
      <w:r>
        <w:t>2. Oferty podlegają ocenie na podstawie niniejszych kryteriów:</w:t>
      </w:r>
    </w:p>
    <w:p w14:paraId="05FA8F75" w14:textId="77777777" w:rsidR="00A52802" w:rsidRDefault="00A52802" w:rsidP="00A52802">
      <w:pPr>
        <w:jc w:val="both"/>
      </w:pPr>
    </w:p>
    <w:tbl>
      <w:tblPr>
        <w:tblW w:w="93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30"/>
        <w:gridCol w:w="7078"/>
        <w:gridCol w:w="860"/>
        <w:gridCol w:w="74"/>
        <w:gridCol w:w="330"/>
      </w:tblGrid>
      <w:tr w:rsidR="00A52802" w14:paraId="782404FA" w14:textId="77777777" w:rsidTr="001A25AC">
        <w:trPr>
          <w:gridAfter w:val="1"/>
          <w:wAfter w:w="330" w:type="dxa"/>
          <w:trHeight w:val="366"/>
        </w:trPr>
        <w:tc>
          <w:tcPr>
            <w:tcW w:w="706" w:type="dxa"/>
          </w:tcPr>
          <w:p w14:paraId="785E3F9C" w14:textId="77777777" w:rsidR="00A52802" w:rsidRDefault="00A52802" w:rsidP="001A25AC">
            <w:pPr>
              <w:ind w:left="-98"/>
              <w:jc w:val="center"/>
            </w:pPr>
          </w:p>
          <w:p w14:paraId="52BB4825" w14:textId="77777777" w:rsidR="00A52802" w:rsidRDefault="00A52802" w:rsidP="001A25AC">
            <w:pPr>
              <w:ind w:left="-98"/>
              <w:jc w:val="center"/>
            </w:pPr>
            <w:r>
              <w:t>L.p.</w:t>
            </w:r>
          </w:p>
        </w:tc>
        <w:tc>
          <w:tcPr>
            <w:tcW w:w="7408" w:type="dxa"/>
            <w:gridSpan w:val="2"/>
          </w:tcPr>
          <w:p w14:paraId="75CB92AC" w14:textId="77777777" w:rsidR="00A52802" w:rsidRDefault="00A52802" w:rsidP="001A25AC"/>
          <w:p w14:paraId="1DC6CB85" w14:textId="77777777" w:rsidR="00A52802" w:rsidRDefault="00A52802" w:rsidP="001A25AC">
            <w:pPr>
              <w:jc w:val="center"/>
            </w:pPr>
            <w:r>
              <w:t>Kryterium oceny</w:t>
            </w:r>
          </w:p>
        </w:tc>
        <w:tc>
          <w:tcPr>
            <w:tcW w:w="934" w:type="dxa"/>
            <w:gridSpan w:val="2"/>
          </w:tcPr>
          <w:p w14:paraId="6E7A6AAE" w14:textId="77777777" w:rsidR="00A52802" w:rsidRDefault="00A52802" w:rsidP="001A25AC"/>
          <w:p w14:paraId="695B8C58" w14:textId="77777777" w:rsidR="00A52802" w:rsidRDefault="00A52802" w:rsidP="001A25AC">
            <w:pPr>
              <w:jc w:val="both"/>
            </w:pPr>
            <w:r>
              <w:t>Liczba punktów</w:t>
            </w:r>
          </w:p>
        </w:tc>
      </w:tr>
      <w:tr w:rsidR="00A52802" w14:paraId="025205AE" w14:textId="77777777" w:rsidTr="001A25AC">
        <w:trPr>
          <w:gridAfter w:val="1"/>
          <w:wAfter w:w="330" w:type="dxa"/>
          <w:trHeight w:val="1569"/>
        </w:trPr>
        <w:tc>
          <w:tcPr>
            <w:tcW w:w="706" w:type="dxa"/>
          </w:tcPr>
          <w:p w14:paraId="18DFD213" w14:textId="77777777" w:rsidR="00A52802" w:rsidRDefault="00A52802" w:rsidP="001A25AC">
            <w:pPr>
              <w:ind w:left="-98"/>
              <w:jc w:val="center"/>
            </w:pPr>
          </w:p>
          <w:p w14:paraId="5D8AE211" w14:textId="77777777" w:rsidR="00A52802" w:rsidRDefault="00A52802" w:rsidP="001A25AC">
            <w:pPr>
              <w:ind w:left="-98"/>
              <w:jc w:val="center"/>
            </w:pPr>
          </w:p>
          <w:p w14:paraId="340F84BD" w14:textId="77777777" w:rsidR="00A52802" w:rsidRDefault="00A52802" w:rsidP="001A25AC">
            <w:pPr>
              <w:ind w:left="-98"/>
              <w:jc w:val="center"/>
            </w:pPr>
            <w:r>
              <w:t>1</w:t>
            </w:r>
          </w:p>
        </w:tc>
        <w:tc>
          <w:tcPr>
            <w:tcW w:w="7408" w:type="dxa"/>
            <w:gridSpan w:val="2"/>
          </w:tcPr>
          <w:p w14:paraId="526402FA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  <w:r w:rsidRPr="00636558">
              <w:rPr>
                <w:b/>
                <w:sz w:val="20"/>
                <w:szCs w:val="20"/>
              </w:rPr>
              <w:t>Średnia opłata za zarządzanie PPK*</w:t>
            </w:r>
            <w:r w:rsidRPr="00636558">
              <w:rPr>
                <w:sz w:val="20"/>
                <w:szCs w:val="20"/>
              </w:rPr>
              <w:t xml:space="preserve"> w skali od 0 do 30. </w:t>
            </w:r>
          </w:p>
          <w:p w14:paraId="61D31320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</w:p>
          <w:p w14:paraId="79919873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  <w:r w:rsidRPr="00636558">
              <w:rPr>
                <w:sz w:val="20"/>
                <w:szCs w:val="20"/>
              </w:rPr>
              <w:t xml:space="preserve">Średnia opłata za zarządzanie PPK jest to średnia arytmetyczna z opłat w poszczególnych funduszach zdefiniowanej daty podanych w Formularzu ofertowym – rozumiana jako wynagrodzenie za zarządzanie PPK zgodnie z art. 49 pkt 1 i 2 ustawy o PPK - % wartości aktywów netto funduszu w skali roku. Zamawiający oceni dane kryterium na podstawie wartości wskazanych przez </w:t>
            </w:r>
            <w:r w:rsidRPr="0007546A">
              <w:rPr>
                <w:sz w:val="20"/>
                <w:szCs w:val="20"/>
              </w:rPr>
              <w:t>Wykonawcę Czę</w:t>
            </w:r>
            <w:r>
              <w:rPr>
                <w:sz w:val="20"/>
                <w:szCs w:val="20"/>
              </w:rPr>
              <w:t>ś</w:t>
            </w:r>
            <w:r w:rsidRPr="0007546A">
              <w:rPr>
                <w:sz w:val="20"/>
                <w:szCs w:val="20"/>
              </w:rPr>
              <w:t>ci B</w:t>
            </w:r>
            <w:r>
              <w:rPr>
                <w:sz w:val="20"/>
                <w:szCs w:val="20"/>
              </w:rPr>
              <w:t xml:space="preserve"> pkt</w:t>
            </w:r>
            <w:r w:rsidRPr="0007546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.1.</w:t>
            </w:r>
            <w:r w:rsidRPr="0007546A">
              <w:rPr>
                <w:sz w:val="20"/>
                <w:szCs w:val="20"/>
              </w:rPr>
              <w:t xml:space="preserve"> Formularza Ofertowego.</w:t>
            </w:r>
            <w:r w:rsidRPr="00636558">
              <w:rPr>
                <w:sz w:val="20"/>
                <w:szCs w:val="20"/>
              </w:rPr>
              <w:t xml:space="preserve"> </w:t>
            </w:r>
          </w:p>
          <w:p w14:paraId="61926E35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</w:p>
          <w:p w14:paraId="499ADFF7" w14:textId="77777777" w:rsidR="00A52802" w:rsidRPr="00636558" w:rsidRDefault="00A52802" w:rsidP="001A25AC">
            <w:pPr>
              <w:jc w:val="left"/>
              <w:rPr>
                <w:rFonts w:cs="Cambria Math"/>
                <w:sz w:val="20"/>
                <w:szCs w:val="20"/>
              </w:rPr>
            </w:pPr>
            <w:r w:rsidRPr="00636558">
              <w:rPr>
                <w:rFonts w:cs="Cambria Math"/>
                <w:sz w:val="20"/>
                <w:szCs w:val="20"/>
              </w:rPr>
              <w:t xml:space="preserve">                                                          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𝑛𝑎𝑗𝑛𝑖</w:t>
            </w:r>
            <w:r w:rsidRPr="00636558">
              <w:rPr>
                <w:sz w:val="20"/>
                <w:szCs w:val="20"/>
              </w:rPr>
              <w:t>ż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𝑠𝑧𝑎</w:t>
            </w:r>
            <w:r w:rsidRPr="00636558">
              <w:rPr>
                <w:sz w:val="20"/>
                <w:szCs w:val="20"/>
              </w:rPr>
              <w:t xml:space="preserve"> ś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𝑟𝑒𝑑𝑛𝑖𝑎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𝑜𝑝</w:t>
            </w:r>
            <w:r w:rsidRPr="00636558">
              <w:rPr>
                <w:sz w:val="20"/>
                <w:szCs w:val="20"/>
              </w:rPr>
              <w:t>ł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𝑎𝑡𝑎</w:t>
            </w:r>
            <w:r w:rsidRPr="00636558">
              <w:rPr>
                <w:rFonts w:cs="Cambria Math"/>
                <w:sz w:val="20"/>
                <w:szCs w:val="20"/>
              </w:rPr>
              <w:br/>
              <w:t xml:space="preserve">                                                  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𝑧𝑎𝑚</w:t>
            </w:r>
            <w:r w:rsidRPr="00636558">
              <w:rPr>
                <w:sz w:val="20"/>
                <w:szCs w:val="20"/>
              </w:rPr>
              <w:t>ó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𝑤𝑖𝑒𝑛𝑖𝑎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𝑧𝑒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𝑧</w:t>
            </w:r>
            <w:r w:rsidRPr="00636558">
              <w:rPr>
                <w:sz w:val="20"/>
                <w:szCs w:val="20"/>
              </w:rPr>
              <w:t>ł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</w:t>
            </w:r>
            <w:r w:rsidRPr="00636558">
              <w:rPr>
                <w:sz w:val="20"/>
                <w:szCs w:val="20"/>
              </w:rPr>
              <w:t>ż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𝑜𝑛𝑦𝑐</w:t>
            </w:r>
            <w:r w:rsidRPr="00636558">
              <w:rPr>
                <w:rFonts w:hAnsi="Cambria Math" w:cs="Cambria Math"/>
                <w:sz w:val="20"/>
                <w:szCs w:val="20"/>
              </w:rPr>
              <w:t>ℎ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𝑜𝑓𝑒𝑟</w:t>
            </w:r>
            <w:r w:rsidRPr="00636558">
              <w:rPr>
                <w:rFonts w:cs="Cambria Math"/>
                <w:sz w:val="20"/>
                <w:szCs w:val="20"/>
              </w:rPr>
              <w:t>t</w:t>
            </w:r>
          </w:p>
          <w:p w14:paraId="558ED21B" w14:textId="77777777" w:rsidR="00A52802" w:rsidRPr="00636558" w:rsidRDefault="00A52802" w:rsidP="001A25AC">
            <w:pPr>
              <w:jc w:val="left"/>
              <w:rPr>
                <w:rFonts w:cs="Cambria Math"/>
                <w:sz w:val="20"/>
                <w:szCs w:val="20"/>
              </w:rPr>
            </w:pPr>
            <w:r w:rsidRPr="00636558">
              <w:rPr>
                <w:rFonts w:ascii="Cambria Math" w:hAnsi="Cambria Math" w:cs="Cambria Math"/>
                <w:sz w:val="20"/>
                <w:szCs w:val="20"/>
              </w:rPr>
              <w:t>𝑤𝑎𝑟𝑡𝑜</w:t>
            </w:r>
            <w:r w:rsidRPr="00636558">
              <w:rPr>
                <w:sz w:val="20"/>
                <w:szCs w:val="20"/>
              </w:rPr>
              <w:t xml:space="preserve">ść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𝑝𝑢𝑛𝑘𝑡𝑜𝑤𝑎</w:t>
            </w:r>
            <w:r w:rsidRPr="00636558">
              <w:rPr>
                <w:sz w:val="20"/>
                <w:szCs w:val="20"/>
              </w:rPr>
              <w:t xml:space="preserve"> = </w:t>
            </w:r>
            <w:r w:rsidRPr="00636558">
              <w:rPr>
                <w:rFonts w:cs="Cambria Math"/>
                <w:sz w:val="20"/>
                <w:szCs w:val="20"/>
              </w:rPr>
              <w:t xml:space="preserve">     -------------------------------------------</w:t>
            </w:r>
            <w:r>
              <w:rPr>
                <w:rFonts w:cs="Cambria Math"/>
                <w:sz w:val="20"/>
                <w:szCs w:val="20"/>
              </w:rPr>
              <w:t>-----</w:t>
            </w:r>
            <w:r w:rsidRPr="00636558">
              <w:rPr>
                <w:rFonts w:cs="Cambria Math"/>
                <w:sz w:val="20"/>
                <w:szCs w:val="20"/>
              </w:rPr>
              <w:t xml:space="preserve">----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𝑥</w:t>
            </w:r>
            <w:r w:rsidRPr="00636558">
              <w:rPr>
                <w:sz w:val="20"/>
                <w:szCs w:val="20"/>
              </w:rPr>
              <w:t xml:space="preserve"> 30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𝑝𝑘𝑡</w:t>
            </w:r>
          </w:p>
          <w:p w14:paraId="631F4BAB" w14:textId="77777777" w:rsidR="00A52802" w:rsidRDefault="00A52802" w:rsidP="001A25AC">
            <w:pPr>
              <w:jc w:val="left"/>
            </w:pPr>
            <w:r w:rsidRPr="00636558">
              <w:rPr>
                <w:sz w:val="20"/>
                <w:szCs w:val="20"/>
              </w:rPr>
              <w:t xml:space="preserve">                                                  ś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𝑟𝑒𝑑𝑛𝑖𝑎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𝑜𝑝</w:t>
            </w:r>
            <w:r w:rsidRPr="00636558">
              <w:rPr>
                <w:sz w:val="20"/>
                <w:szCs w:val="20"/>
              </w:rPr>
              <w:t>ł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𝑎𝑡𝑎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𝑜𝑐𝑒𝑛𝑖𝑎𝑛𝑒𝑗</w:t>
            </w:r>
            <w:r w:rsidRPr="00636558">
              <w:rPr>
                <w:sz w:val="20"/>
                <w:szCs w:val="20"/>
              </w:rPr>
              <w:t xml:space="preserve"> </w:t>
            </w:r>
            <w:r w:rsidRPr="00636558">
              <w:rPr>
                <w:rFonts w:ascii="Cambria Math" w:hAnsi="Cambria Math" w:cs="Cambria Math"/>
                <w:sz w:val="20"/>
                <w:szCs w:val="20"/>
              </w:rPr>
              <w:t>𝑜𝑓𝑒𝑟𝑡𝑦</w:t>
            </w:r>
            <w:r w:rsidRPr="00B0602F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34" w:type="dxa"/>
            <w:gridSpan w:val="2"/>
          </w:tcPr>
          <w:p w14:paraId="42A6D49C" w14:textId="77777777" w:rsidR="00A52802" w:rsidRDefault="00A52802" w:rsidP="001A25AC"/>
          <w:p w14:paraId="15373752" w14:textId="77777777" w:rsidR="00A52802" w:rsidRDefault="00A52802" w:rsidP="001A25AC">
            <w:pPr>
              <w:jc w:val="both"/>
            </w:pPr>
            <w:r>
              <w:t>max. 30</w:t>
            </w:r>
          </w:p>
        </w:tc>
      </w:tr>
      <w:tr w:rsidR="00A52802" w14:paraId="57720D4B" w14:textId="77777777" w:rsidTr="001A25AC">
        <w:trPr>
          <w:gridAfter w:val="1"/>
          <w:wAfter w:w="330" w:type="dxa"/>
          <w:trHeight w:val="3065"/>
        </w:trPr>
        <w:tc>
          <w:tcPr>
            <w:tcW w:w="706" w:type="dxa"/>
          </w:tcPr>
          <w:p w14:paraId="1FB0A33A" w14:textId="77777777" w:rsidR="00A52802" w:rsidRDefault="00A52802" w:rsidP="001A25AC">
            <w:pPr>
              <w:ind w:left="-98"/>
              <w:jc w:val="center"/>
            </w:pPr>
            <w:r>
              <w:t>2</w:t>
            </w:r>
          </w:p>
        </w:tc>
        <w:tc>
          <w:tcPr>
            <w:tcW w:w="7408" w:type="dxa"/>
            <w:gridSpan w:val="2"/>
          </w:tcPr>
          <w:p w14:paraId="5672B8B2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  <w:r w:rsidRPr="00636558">
              <w:rPr>
                <w:b/>
                <w:sz w:val="20"/>
                <w:szCs w:val="20"/>
              </w:rPr>
              <w:t>Średnia opłata za osiągnięty wynik</w:t>
            </w:r>
            <w:r w:rsidRPr="00636558">
              <w:rPr>
                <w:sz w:val="20"/>
                <w:szCs w:val="20"/>
              </w:rPr>
              <w:t xml:space="preserve"> w skali od 0 do 30. </w:t>
            </w:r>
          </w:p>
          <w:p w14:paraId="0A24603B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</w:p>
          <w:p w14:paraId="308C6990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  <w:r w:rsidRPr="00636558">
              <w:rPr>
                <w:sz w:val="20"/>
                <w:szCs w:val="20"/>
              </w:rPr>
              <w:t xml:space="preserve">Średnia opłata za osiągnięty wynik jest to średnia arytmetyczna z opłat w poszczególnych funduszach zdefiniowanej daty podanych w Formularzu ofertowym – rozumiana jako wynagrodzenie za osiągnięty wynik zgodnie z art. 49 pkt 3 ustawy o PPK - % wartości aktywów netto funduszu w skali roku. Zamawiający oceni dane kryterium na podstawie wartości wskazanych przez Wykonawcę w </w:t>
            </w:r>
            <w:r w:rsidRPr="0007546A">
              <w:rPr>
                <w:sz w:val="20"/>
                <w:szCs w:val="20"/>
              </w:rPr>
              <w:t>Czę</w:t>
            </w:r>
            <w:r>
              <w:rPr>
                <w:sz w:val="20"/>
                <w:szCs w:val="20"/>
              </w:rPr>
              <w:t>ś</w:t>
            </w:r>
            <w:r w:rsidRPr="0007546A">
              <w:rPr>
                <w:sz w:val="20"/>
                <w:szCs w:val="20"/>
              </w:rPr>
              <w:t>ci B</w:t>
            </w:r>
            <w:r>
              <w:rPr>
                <w:sz w:val="20"/>
                <w:szCs w:val="20"/>
              </w:rPr>
              <w:t xml:space="preserve"> pkt</w:t>
            </w:r>
            <w:r w:rsidRPr="0007546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.2.</w:t>
            </w:r>
            <w:r w:rsidRPr="0007546A">
              <w:rPr>
                <w:sz w:val="20"/>
                <w:szCs w:val="20"/>
              </w:rPr>
              <w:t xml:space="preserve"> Formularza</w:t>
            </w:r>
            <w:r w:rsidRPr="00636558">
              <w:rPr>
                <w:sz w:val="20"/>
                <w:szCs w:val="20"/>
              </w:rPr>
              <w:t xml:space="preserve"> Ofertowego.</w:t>
            </w:r>
          </w:p>
          <w:p w14:paraId="15BA80A6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</w:p>
          <w:p w14:paraId="2EE610C9" w14:textId="77777777" w:rsidR="00A52802" w:rsidRPr="00636558" w:rsidRDefault="00A52802" w:rsidP="001A25AC">
            <w:pPr>
              <w:jc w:val="left"/>
              <w:rPr>
                <w:rFonts w:cs="Cambria Math"/>
                <w:i/>
                <w:sz w:val="20"/>
                <w:szCs w:val="20"/>
              </w:rPr>
            </w:pPr>
            <w:r w:rsidRPr="00636558">
              <w:rPr>
                <w:rFonts w:cs="Cambria Math"/>
                <w:sz w:val="20"/>
                <w:szCs w:val="20"/>
              </w:rPr>
              <w:t xml:space="preserve">                                                              </w:t>
            </w:r>
            <w:r w:rsidRPr="00636558">
              <w:rPr>
                <w:rFonts w:cs="Cambria Math"/>
                <w:i/>
                <w:sz w:val="20"/>
                <w:szCs w:val="20"/>
              </w:rPr>
              <w:t>najniższa średnia opłata</w:t>
            </w:r>
          </w:p>
          <w:p w14:paraId="4B1EB680" w14:textId="77777777" w:rsidR="00A52802" w:rsidRPr="00636558" w:rsidRDefault="00A52802" w:rsidP="001A25AC">
            <w:pPr>
              <w:jc w:val="left"/>
              <w:rPr>
                <w:rFonts w:cs="Cambria Math"/>
                <w:i/>
                <w:sz w:val="20"/>
                <w:szCs w:val="20"/>
              </w:rPr>
            </w:pPr>
            <w:r w:rsidRPr="00636558">
              <w:rPr>
                <w:rFonts w:cs="Cambria Math"/>
                <w:i/>
                <w:sz w:val="20"/>
                <w:szCs w:val="20"/>
              </w:rPr>
              <w:t xml:space="preserve">                                                         zamówienia ze złożonych ofert                                                   </w:t>
            </w:r>
            <w:r w:rsidRPr="00636558">
              <w:rPr>
                <w:i/>
                <w:sz w:val="20"/>
                <w:szCs w:val="20"/>
              </w:rPr>
              <w:t xml:space="preserve"> </w:t>
            </w:r>
          </w:p>
          <w:p w14:paraId="744C3147" w14:textId="77777777" w:rsidR="00A52802" w:rsidRPr="00636558" w:rsidRDefault="00A52802" w:rsidP="001A25AC">
            <w:pPr>
              <w:jc w:val="left"/>
              <w:rPr>
                <w:rFonts w:cs="Cambria Math"/>
                <w:i/>
                <w:sz w:val="20"/>
                <w:szCs w:val="20"/>
              </w:rPr>
            </w:pP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𝑤𝑎𝑟𝑡𝑜</w:t>
            </w:r>
            <w:r w:rsidRPr="00636558">
              <w:rPr>
                <w:i/>
                <w:sz w:val="20"/>
                <w:szCs w:val="20"/>
              </w:rPr>
              <w:t xml:space="preserve">ść </w:t>
            </w: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𝑝𝑢𝑛𝑘𝑡𝑜𝑤𝑎</w:t>
            </w:r>
            <w:r w:rsidRPr="00636558">
              <w:rPr>
                <w:i/>
                <w:sz w:val="20"/>
                <w:szCs w:val="20"/>
              </w:rPr>
              <w:t xml:space="preserve"> = </w:t>
            </w:r>
            <w:r w:rsidRPr="00636558">
              <w:rPr>
                <w:rFonts w:cs="Cambria Math"/>
                <w:i/>
                <w:sz w:val="20"/>
                <w:szCs w:val="20"/>
              </w:rPr>
              <w:t xml:space="preserve">     ------------------------------------------------------------ </w:t>
            </w: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𝑥</w:t>
            </w:r>
            <w:r w:rsidRPr="00636558">
              <w:rPr>
                <w:i/>
                <w:sz w:val="20"/>
                <w:szCs w:val="20"/>
              </w:rPr>
              <w:t xml:space="preserve"> 30 </w:t>
            </w: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𝑝𝑘𝑡</w:t>
            </w:r>
          </w:p>
          <w:p w14:paraId="2A0B5666" w14:textId="77777777" w:rsidR="00A52802" w:rsidRPr="00636558" w:rsidRDefault="00A52802" w:rsidP="001A25AC">
            <w:pPr>
              <w:jc w:val="both"/>
              <w:rPr>
                <w:i/>
                <w:sz w:val="20"/>
                <w:szCs w:val="20"/>
              </w:rPr>
            </w:pPr>
            <w:r w:rsidRPr="00636558">
              <w:rPr>
                <w:i/>
                <w:sz w:val="20"/>
                <w:szCs w:val="20"/>
              </w:rPr>
              <w:t xml:space="preserve">                                                         średnia opłata ocenianej oferty</w:t>
            </w:r>
          </w:p>
          <w:p w14:paraId="0FFE4639" w14:textId="77777777" w:rsidR="00A52802" w:rsidRPr="00636558" w:rsidRDefault="00A52802" w:rsidP="001A25AC">
            <w:pPr>
              <w:jc w:val="both"/>
              <w:rPr>
                <w:i/>
              </w:rPr>
            </w:pPr>
          </w:p>
          <w:p w14:paraId="28D8B0E8" w14:textId="77777777" w:rsidR="00A52802" w:rsidRDefault="00A52802" w:rsidP="001A25AC">
            <w:pPr>
              <w:jc w:val="left"/>
            </w:pPr>
            <w:r>
              <w:rPr>
                <w:rFonts w:ascii="Cambria Math" w:hAnsi="Cambria Math" w:cs="Cambria Math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934" w:type="dxa"/>
            <w:gridSpan w:val="2"/>
          </w:tcPr>
          <w:p w14:paraId="1C07709A" w14:textId="77777777" w:rsidR="00A52802" w:rsidRDefault="00A52802" w:rsidP="001A25AC"/>
          <w:p w14:paraId="64777FE3" w14:textId="77777777" w:rsidR="00A52802" w:rsidRDefault="00A52802" w:rsidP="001A25AC">
            <w:pPr>
              <w:jc w:val="both"/>
            </w:pPr>
            <w:r>
              <w:t>max. 30</w:t>
            </w:r>
          </w:p>
        </w:tc>
      </w:tr>
      <w:tr w:rsidR="00A52802" w14:paraId="79EDB59E" w14:textId="77777777" w:rsidTr="001A25AC">
        <w:trPr>
          <w:gridAfter w:val="1"/>
          <w:wAfter w:w="330" w:type="dxa"/>
          <w:trHeight w:val="1053"/>
        </w:trPr>
        <w:tc>
          <w:tcPr>
            <w:tcW w:w="706" w:type="dxa"/>
          </w:tcPr>
          <w:p w14:paraId="4D74CA51" w14:textId="77777777" w:rsidR="00A52802" w:rsidRDefault="00A52802" w:rsidP="001A25AC">
            <w:pPr>
              <w:ind w:left="-98"/>
              <w:jc w:val="center"/>
            </w:pPr>
            <w:r>
              <w:t>3</w:t>
            </w:r>
          </w:p>
        </w:tc>
        <w:tc>
          <w:tcPr>
            <w:tcW w:w="7408" w:type="dxa"/>
            <w:gridSpan w:val="2"/>
          </w:tcPr>
          <w:p w14:paraId="148257A0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  <w:r w:rsidRPr="00516514">
              <w:rPr>
                <w:b/>
                <w:sz w:val="20"/>
                <w:szCs w:val="20"/>
              </w:rPr>
              <w:t>Efektywność w zarządzaniu aktywami</w:t>
            </w:r>
            <w:r w:rsidRPr="00636558">
              <w:rPr>
                <w:sz w:val="20"/>
                <w:szCs w:val="20"/>
              </w:rPr>
              <w:t xml:space="preserve"> w skali od 0 do 30. </w:t>
            </w:r>
          </w:p>
          <w:p w14:paraId="67685290" w14:textId="77777777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</w:p>
          <w:p w14:paraId="28345C6B" w14:textId="7B5EADDA" w:rsidR="00A52802" w:rsidRPr="00636558" w:rsidRDefault="00A52802" w:rsidP="001A25AC">
            <w:pPr>
              <w:jc w:val="both"/>
              <w:rPr>
                <w:sz w:val="20"/>
                <w:szCs w:val="20"/>
              </w:rPr>
            </w:pPr>
            <w:r w:rsidRPr="002E30B1">
              <w:rPr>
                <w:sz w:val="20"/>
                <w:szCs w:val="20"/>
              </w:rPr>
              <w:t xml:space="preserve">Średnia ważona stopa zwrotu z okresu ostatnich 10 lat Zamawiający oceni dane kryterium na podstawie wartości wskazanych przez Wykonawcę w </w:t>
            </w:r>
            <w:r w:rsidR="002E30B1" w:rsidRPr="002E30B1">
              <w:rPr>
                <w:sz w:val="20"/>
                <w:szCs w:val="20"/>
              </w:rPr>
              <w:t>Części B pkt II.</w:t>
            </w:r>
            <w:r w:rsidR="004E7F1B">
              <w:rPr>
                <w:sz w:val="20"/>
                <w:szCs w:val="20"/>
              </w:rPr>
              <w:t xml:space="preserve"> </w:t>
            </w:r>
            <w:r w:rsidRPr="002E30B1">
              <w:rPr>
                <w:sz w:val="20"/>
                <w:szCs w:val="20"/>
              </w:rPr>
              <w:t>Formularza Ofertowego.</w:t>
            </w:r>
          </w:p>
          <w:p w14:paraId="7BCA433E" w14:textId="77777777" w:rsidR="00A52802" w:rsidRPr="00636558" w:rsidRDefault="00A52802" w:rsidP="001A25AC">
            <w:pPr>
              <w:rPr>
                <w:sz w:val="20"/>
                <w:szCs w:val="20"/>
              </w:rPr>
            </w:pPr>
          </w:p>
          <w:p w14:paraId="1982A194" w14:textId="77777777" w:rsidR="00A52802" w:rsidRPr="00636558" w:rsidRDefault="00A52802" w:rsidP="001A25AC">
            <w:pPr>
              <w:jc w:val="left"/>
              <w:rPr>
                <w:rFonts w:cs="Cambria Math"/>
                <w:i/>
                <w:sz w:val="20"/>
                <w:szCs w:val="20"/>
              </w:rPr>
            </w:pPr>
            <w:r w:rsidRPr="00636558">
              <w:rPr>
                <w:rFonts w:cs="Cambria Math"/>
                <w:i/>
                <w:sz w:val="20"/>
                <w:szCs w:val="20"/>
              </w:rPr>
              <w:t xml:space="preserve">                                                           średnia ważona stopa zwrotu</w:t>
            </w:r>
          </w:p>
          <w:p w14:paraId="437D6E93" w14:textId="77777777" w:rsidR="00A52802" w:rsidRPr="00636558" w:rsidRDefault="00A52802" w:rsidP="001A25AC">
            <w:pPr>
              <w:jc w:val="left"/>
              <w:rPr>
                <w:rFonts w:cs="Cambria Math"/>
                <w:i/>
                <w:sz w:val="20"/>
                <w:szCs w:val="20"/>
              </w:rPr>
            </w:pPr>
            <w:r w:rsidRPr="00636558">
              <w:rPr>
                <w:rFonts w:cs="Cambria Math"/>
                <w:i/>
                <w:sz w:val="20"/>
                <w:szCs w:val="20"/>
              </w:rPr>
              <w:t xml:space="preserve">                                                                       oferty ocenianej                                                   </w:t>
            </w:r>
            <w:r w:rsidRPr="00636558">
              <w:rPr>
                <w:i/>
                <w:sz w:val="20"/>
                <w:szCs w:val="20"/>
              </w:rPr>
              <w:t xml:space="preserve"> </w:t>
            </w:r>
          </w:p>
          <w:p w14:paraId="3E07E601" w14:textId="77777777" w:rsidR="00A52802" w:rsidRPr="00636558" w:rsidRDefault="00A52802" w:rsidP="001A25AC">
            <w:pPr>
              <w:jc w:val="left"/>
              <w:rPr>
                <w:rFonts w:cs="Cambria Math"/>
                <w:i/>
                <w:sz w:val="20"/>
                <w:szCs w:val="20"/>
              </w:rPr>
            </w:pP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𝑤𝑎𝑟𝑡𝑜</w:t>
            </w:r>
            <w:r w:rsidRPr="00636558">
              <w:rPr>
                <w:i/>
                <w:sz w:val="20"/>
                <w:szCs w:val="20"/>
              </w:rPr>
              <w:t xml:space="preserve">ść </w:t>
            </w: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𝑝𝑢𝑛𝑘𝑡𝑜𝑤𝑎</w:t>
            </w:r>
            <w:r w:rsidRPr="00636558">
              <w:rPr>
                <w:i/>
                <w:sz w:val="20"/>
                <w:szCs w:val="20"/>
              </w:rPr>
              <w:t xml:space="preserve"> = </w:t>
            </w:r>
            <w:r w:rsidRPr="00636558">
              <w:rPr>
                <w:rFonts w:cs="Cambria Math"/>
                <w:i/>
                <w:sz w:val="20"/>
                <w:szCs w:val="20"/>
              </w:rPr>
              <w:t xml:space="preserve">     ------------------------------------------------------------ </w:t>
            </w: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𝑥</w:t>
            </w:r>
            <w:r w:rsidRPr="00636558">
              <w:rPr>
                <w:i/>
                <w:sz w:val="20"/>
                <w:szCs w:val="20"/>
              </w:rPr>
              <w:t xml:space="preserve"> 30 </w:t>
            </w:r>
            <w:r w:rsidRPr="00636558">
              <w:rPr>
                <w:rFonts w:ascii="Cambria Math" w:hAnsi="Cambria Math" w:cs="Cambria Math"/>
                <w:i/>
                <w:sz w:val="20"/>
                <w:szCs w:val="20"/>
              </w:rPr>
              <w:t>𝑝𝑘𝑡</w:t>
            </w:r>
            <w:r w:rsidRPr="00636558">
              <w:rPr>
                <w:i/>
                <w:sz w:val="20"/>
                <w:szCs w:val="20"/>
              </w:rPr>
              <w:t>.</w:t>
            </w:r>
          </w:p>
          <w:p w14:paraId="500F7DB8" w14:textId="77777777" w:rsidR="00A52802" w:rsidRPr="00636558" w:rsidRDefault="00A52802" w:rsidP="001A25AC">
            <w:pPr>
              <w:jc w:val="both"/>
              <w:rPr>
                <w:i/>
                <w:sz w:val="20"/>
                <w:szCs w:val="20"/>
              </w:rPr>
            </w:pPr>
            <w:r w:rsidRPr="00636558">
              <w:rPr>
                <w:i/>
                <w:sz w:val="20"/>
                <w:szCs w:val="20"/>
              </w:rPr>
              <w:t xml:space="preserve">                                                  najwyższa średnia ważona stopa zwrotu</w:t>
            </w:r>
          </w:p>
          <w:p w14:paraId="7D56CF03" w14:textId="77777777" w:rsidR="00A52802" w:rsidRPr="00636558" w:rsidRDefault="00A52802" w:rsidP="001A25AC">
            <w:pPr>
              <w:jc w:val="both"/>
              <w:rPr>
                <w:i/>
                <w:sz w:val="20"/>
                <w:szCs w:val="20"/>
              </w:rPr>
            </w:pPr>
            <w:r w:rsidRPr="00636558">
              <w:rPr>
                <w:i/>
                <w:sz w:val="20"/>
                <w:szCs w:val="20"/>
              </w:rPr>
              <w:t xml:space="preserve">                                                                         ze złożonych ofert                                          </w:t>
            </w:r>
          </w:p>
          <w:p w14:paraId="065097C3" w14:textId="77777777" w:rsidR="00A52802" w:rsidRDefault="00A52802" w:rsidP="001A25AC"/>
        </w:tc>
        <w:tc>
          <w:tcPr>
            <w:tcW w:w="934" w:type="dxa"/>
            <w:gridSpan w:val="2"/>
          </w:tcPr>
          <w:p w14:paraId="5CDAB615" w14:textId="77777777" w:rsidR="00A52802" w:rsidRDefault="00A52802" w:rsidP="001A25AC"/>
          <w:p w14:paraId="4D881DD8" w14:textId="77777777" w:rsidR="00A52802" w:rsidRDefault="00A52802" w:rsidP="001A25AC">
            <w:pPr>
              <w:jc w:val="both"/>
            </w:pPr>
            <w:r>
              <w:t>max. 30</w:t>
            </w:r>
          </w:p>
        </w:tc>
      </w:tr>
      <w:tr w:rsidR="00A52802" w14:paraId="3367CA38" w14:textId="77777777" w:rsidTr="001A25AC">
        <w:trPr>
          <w:gridAfter w:val="1"/>
          <w:wAfter w:w="330" w:type="dxa"/>
          <w:trHeight w:val="1053"/>
        </w:trPr>
        <w:tc>
          <w:tcPr>
            <w:tcW w:w="706" w:type="dxa"/>
          </w:tcPr>
          <w:p w14:paraId="2F5D598C" w14:textId="77777777" w:rsidR="00A52802" w:rsidRDefault="00A52802" w:rsidP="001A25AC">
            <w:pPr>
              <w:ind w:left="-98"/>
              <w:jc w:val="center"/>
            </w:pPr>
            <w:r>
              <w:t xml:space="preserve">4. </w:t>
            </w:r>
          </w:p>
        </w:tc>
        <w:tc>
          <w:tcPr>
            <w:tcW w:w="7408" w:type="dxa"/>
            <w:gridSpan w:val="2"/>
          </w:tcPr>
          <w:p w14:paraId="2B41201C" w14:textId="77777777" w:rsidR="00A52802" w:rsidRPr="00636558" w:rsidRDefault="00A52802" w:rsidP="001A25AC">
            <w:pPr>
              <w:jc w:val="both"/>
              <w:rPr>
                <w:b/>
              </w:rPr>
            </w:pPr>
            <w:r w:rsidRPr="00636558">
              <w:rPr>
                <w:b/>
              </w:rPr>
              <w:t>Ocena ekspercka</w:t>
            </w:r>
          </w:p>
        </w:tc>
        <w:tc>
          <w:tcPr>
            <w:tcW w:w="934" w:type="dxa"/>
            <w:gridSpan w:val="2"/>
          </w:tcPr>
          <w:p w14:paraId="7C799A40" w14:textId="77777777" w:rsidR="00A52802" w:rsidRDefault="00A52802" w:rsidP="001A25AC"/>
          <w:p w14:paraId="601F7F69" w14:textId="77777777" w:rsidR="00A52802" w:rsidRDefault="00A52802" w:rsidP="001A25AC">
            <w:r>
              <w:t>max. 10</w:t>
            </w:r>
          </w:p>
        </w:tc>
      </w:tr>
      <w:tr w:rsidR="00A52802" w14:paraId="0571374E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2FC58F7A" w14:textId="77777777" w:rsidR="00A52802" w:rsidRDefault="00A52802" w:rsidP="001A25AC">
            <w:pPr>
              <w:ind w:left="-98"/>
            </w:pPr>
            <w:r>
              <w:lastRenderedPageBreak/>
              <w:t>4.1</w:t>
            </w:r>
          </w:p>
        </w:tc>
        <w:tc>
          <w:tcPr>
            <w:tcW w:w="7078" w:type="dxa"/>
          </w:tcPr>
          <w:p w14:paraId="491DF996" w14:textId="2AA519F8" w:rsidR="00A52802" w:rsidRDefault="00A52802" w:rsidP="001A25AC">
            <w:pPr>
              <w:jc w:val="both"/>
            </w:pPr>
            <w:r>
              <w:t xml:space="preserve">Brak opłat za zarządzanie (wskazać w formularzu ofertowym daty obowiązywania zwolnienia) – </w:t>
            </w:r>
            <w:r w:rsidRPr="0007546A">
              <w:rPr>
                <w:sz w:val="20"/>
                <w:szCs w:val="20"/>
              </w:rPr>
              <w:t>Czę</w:t>
            </w:r>
            <w:r>
              <w:rPr>
                <w:sz w:val="20"/>
                <w:szCs w:val="20"/>
              </w:rPr>
              <w:t>ś</w:t>
            </w:r>
            <w:r w:rsidR="004E7F1B">
              <w:rPr>
                <w:sz w:val="20"/>
                <w:szCs w:val="20"/>
              </w:rPr>
              <w:t>ć</w:t>
            </w:r>
            <w:r w:rsidRPr="0007546A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pkt</w:t>
            </w:r>
            <w:r w:rsidRPr="0007546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.1.</w:t>
            </w:r>
            <w:r w:rsidRPr="0007546A">
              <w:rPr>
                <w:sz w:val="20"/>
                <w:szCs w:val="20"/>
              </w:rPr>
              <w:t xml:space="preserve"> Formularza Ofertowego</w:t>
            </w:r>
          </w:p>
        </w:tc>
        <w:tc>
          <w:tcPr>
            <w:tcW w:w="860" w:type="dxa"/>
          </w:tcPr>
          <w:p w14:paraId="1DFCC729" w14:textId="77777777" w:rsidR="00A52802" w:rsidRDefault="00A52802" w:rsidP="001A25AC">
            <w:r>
              <w:t>0 – 1* pkt</w:t>
            </w:r>
          </w:p>
        </w:tc>
      </w:tr>
      <w:tr w:rsidR="00A52802" w14:paraId="7D6D308E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636362C8" w14:textId="77777777" w:rsidR="00A52802" w:rsidRDefault="00A52802" w:rsidP="001A25AC">
            <w:pPr>
              <w:ind w:left="-98"/>
            </w:pPr>
            <w:r>
              <w:t>4.2</w:t>
            </w:r>
          </w:p>
        </w:tc>
        <w:tc>
          <w:tcPr>
            <w:tcW w:w="7078" w:type="dxa"/>
          </w:tcPr>
          <w:p w14:paraId="76D17C61" w14:textId="6E6345A0" w:rsidR="00A52802" w:rsidRDefault="00A52802" w:rsidP="001A25AC">
            <w:pPr>
              <w:jc w:val="both"/>
            </w:pPr>
            <w:r>
              <w:t xml:space="preserve">Brak opłat za osiągnięty wynik (wskazać w formularzu ofertowym daty obowiązywania zwolnienia) – </w:t>
            </w:r>
            <w:r w:rsidRPr="00360182">
              <w:t>Częś</w:t>
            </w:r>
            <w:r w:rsidR="004E7F1B">
              <w:t>ć</w:t>
            </w:r>
            <w:r w:rsidRPr="00360182">
              <w:t xml:space="preserve"> B pkt I.2.</w:t>
            </w:r>
            <w:r>
              <w:t xml:space="preserve">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5D9D7A64" w14:textId="77777777" w:rsidR="00A52802" w:rsidRDefault="00A52802" w:rsidP="001A25AC">
            <w:r>
              <w:t>0 – 1* pkt</w:t>
            </w:r>
          </w:p>
        </w:tc>
      </w:tr>
      <w:tr w:rsidR="00A52802" w14:paraId="57667410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60ECBCCF" w14:textId="77777777" w:rsidR="00A52802" w:rsidRDefault="00A52802" w:rsidP="001A25AC">
            <w:pPr>
              <w:ind w:left="-98"/>
            </w:pPr>
            <w:r>
              <w:t>4.3</w:t>
            </w:r>
          </w:p>
        </w:tc>
        <w:tc>
          <w:tcPr>
            <w:tcW w:w="7078" w:type="dxa"/>
          </w:tcPr>
          <w:p w14:paraId="75142989" w14:textId="3DC84342" w:rsidR="00A52802" w:rsidRDefault="00A52802" w:rsidP="001A25AC">
            <w:pPr>
              <w:jc w:val="both"/>
            </w:pPr>
            <w:r>
              <w:t xml:space="preserve">Brak opłat pozostałych obciążających Aktywa Subfunduszu (wskazać w formularzu ofertowym daty obowiązywania zwolnienia) – </w:t>
            </w:r>
            <w:r w:rsidRPr="00360182">
              <w:t>Częś</w:t>
            </w:r>
            <w:r w:rsidR="004E7F1B">
              <w:t>ć</w:t>
            </w:r>
            <w:r w:rsidRPr="00360182">
              <w:t xml:space="preserve"> B pkt I.</w:t>
            </w:r>
            <w:r>
              <w:t>3</w:t>
            </w:r>
            <w:r w:rsidRPr="00360182">
              <w:t>.</w:t>
            </w:r>
            <w:r>
              <w:t xml:space="preserve">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218A72E5" w14:textId="77777777" w:rsidR="00A52802" w:rsidRDefault="00A52802" w:rsidP="001A25AC">
            <w:r>
              <w:t>0 – 1* pkt</w:t>
            </w:r>
          </w:p>
        </w:tc>
      </w:tr>
      <w:tr w:rsidR="00A52802" w14:paraId="419807DF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107F5E7C" w14:textId="77777777" w:rsidR="00A52802" w:rsidRDefault="00A52802" w:rsidP="001A25AC">
            <w:pPr>
              <w:ind w:left="-98"/>
            </w:pPr>
            <w:r>
              <w:t>4.4</w:t>
            </w:r>
          </w:p>
        </w:tc>
        <w:tc>
          <w:tcPr>
            <w:tcW w:w="7078" w:type="dxa"/>
          </w:tcPr>
          <w:p w14:paraId="01587844" w14:textId="4C079043" w:rsidR="00A52802" w:rsidRDefault="00A52802" w:rsidP="001A25AC">
            <w:pPr>
              <w:jc w:val="both"/>
            </w:pPr>
            <w:r>
              <w:t xml:space="preserve">Brak opłat obciążających pracownika (wskazać w formularzu ofertowym daty obowiązywania zwolnienia) – </w:t>
            </w:r>
            <w:r w:rsidRPr="00360182">
              <w:t>Częś</w:t>
            </w:r>
            <w:r w:rsidR="004E7F1B">
              <w:t>ć</w:t>
            </w:r>
            <w:r w:rsidRPr="00360182">
              <w:t xml:space="preserve"> B pkt I.</w:t>
            </w:r>
            <w:r>
              <w:t>4</w:t>
            </w:r>
            <w:r w:rsidRPr="00360182">
              <w:t>.</w:t>
            </w:r>
            <w:r>
              <w:t xml:space="preserve">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3A0A8B8A" w14:textId="77777777" w:rsidR="00A52802" w:rsidRDefault="00A52802" w:rsidP="001A25AC">
            <w:r>
              <w:t>0 – 1* pkt</w:t>
            </w:r>
          </w:p>
        </w:tc>
      </w:tr>
      <w:tr w:rsidR="00A52802" w14:paraId="540641E6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0072DA0C" w14:textId="77777777" w:rsidR="00A52802" w:rsidRDefault="00A52802" w:rsidP="001A25AC">
            <w:pPr>
              <w:ind w:left="-98"/>
            </w:pPr>
            <w:r>
              <w:t>4.5</w:t>
            </w:r>
          </w:p>
        </w:tc>
        <w:tc>
          <w:tcPr>
            <w:tcW w:w="7078" w:type="dxa"/>
          </w:tcPr>
          <w:p w14:paraId="51239E47" w14:textId="2456C56F" w:rsidR="00A52802" w:rsidRDefault="00A52802" w:rsidP="001A25AC">
            <w:pPr>
              <w:jc w:val="both"/>
            </w:pPr>
            <w:r>
              <w:t xml:space="preserve">Brak opłat pozostałych inne niż wymienione w pkt. 4.1. – 4.4. – </w:t>
            </w:r>
            <w:r w:rsidRPr="00360182">
              <w:t>Częś</w:t>
            </w:r>
            <w:r w:rsidR="004E7F1B">
              <w:t>ć</w:t>
            </w:r>
            <w:r w:rsidRPr="00360182">
              <w:t xml:space="preserve"> B pkt I.</w:t>
            </w:r>
            <w:r>
              <w:t>5</w:t>
            </w:r>
            <w:r w:rsidRPr="00360182">
              <w:t>.</w:t>
            </w:r>
            <w:r>
              <w:t xml:space="preserve">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5E7BF22B" w14:textId="77777777" w:rsidR="00A52802" w:rsidRDefault="00A52802" w:rsidP="001A25AC">
            <w:r>
              <w:t>0 – 1* pkt</w:t>
            </w:r>
          </w:p>
        </w:tc>
      </w:tr>
      <w:tr w:rsidR="00A52802" w14:paraId="7EF41549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0F1AEC13" w14:textId="77777777" w:rsidR="00A52802" w:rsidRDefault="00A52802" w:rsidP="001A25AC">
            <w:pPr>
              <w:ind w:left="-98"/>
            </w:pPr>
            <w:r>
              <w:t>4.6</w:t>
            </w:r>
          </w:p>
        </w:tc>
        <w:tc>
          <w:tcPr>
            <w:tcW w:w="7078" w:type="dxa"/>
          </w:tcPr>
          <w:p w14:paraId="16DF4E60" w14:textId="2C2C6ABF" w:rsidR="00A52802" w:rsidRDefault="00A52802" w:rsidP="001A25AC">
            <w:pPr>
              <w:jc w:val="both"/>
            </w:pPr>
            <w:r>
              <w:t xml:space="preserve">Liczba podpisanych umów o prowadzenie PPK z pracodawcami zatrudniającymi co najmniej 30 osób na dzień 31.12.2020r. – </w:t>
            </w:r>
            <w:r w:rsidRPr="00360182">
              <w:t>Częś</w:t>
            </w:r>
            <w:r w:rsidR="004E7F1B">
              <w:t>ć</w:t>
            </w:r>
            <w:r w:rsidRPr="00360182">
              <w:t xml:space="preserve"> B pkt </w:t>
            </w:r>
            <w:r>
              <w:t>I</w:t>
            </w:r>
            <w:r w:rsidRPr="00360182">
              <w:t>I</w:t>
            </w:r>
            <w:r w:rsidR="002E30B1">
              <w:t>I</w:t>
            </w:r>
            <w:r w:rsidRPr="00360182">
              <w:t>.</w:t>
            </w:r>
            <w:r>
              <w:t>1a</w:t>
            </w:r>
            <w:r w:rsidRPr="00360182">
              <w:t>.</w:t>
            </w:r>
            <w:r>
              <w:t xml:space="preserve">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0FCE7891" w14:textId="77777777" w:rsidR="00A52802" w:rsidRDefault="00A52802" w:rsidP="001A25AC">
            <w:r>
              <w:t>0 – 1* pkt</w:t>
            </w:r>
          </w:p>
        </w:tc>
      </w:tr>
      <w:tr w:rsidR="00A52802" w14:paraId="2F53D5F2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74E17DB7" w14:textId="77777777" w:rsidR="00A52802" w:rsidRDefault="00A52802" w:rsidP="001A25AC">
            <w:pPr>
              <w:ind w:left="-98"/>
            </w:pPr>
            <w:r>
              <w:t>4.7</w:t>
            </w:r>
          </w:p>
        </w:tc>
        <w:tc>
          <w:tcPr>
            <w:tcW w:w="7078" w:type="dxa"/>
          </w:tcPr>
          <w:p w14:paraId="09A0BA6A" w14:textId="57C893FA" w:rsidR="00A52802" w:rsidRDefault="00A52802" w:rsidP="001A25AC">
            <w:pPr>
              <w:jc w:val="both"/>
            </w:pPr>
            <w:r>
              <w:t>Wartość zarządzanych aktywów PPK na dzień 31.</w:t>
            </w:r>
            <w:r w:rsidR="004E7F1B">
              <w:t>12</w:t>
            </w:r>
            <w:r>
              <w:t xml:space="preserve">.2020r. – </w:t>
            </w:r>
            <w:r w:rsidRPr="00360182">
              <w:t>Częś</w:t>
            </w:r>
            <w:r w:rsidR="004E7F1B">
              <w:t>ć</w:t>
            </w:r>
            <w:r w:rsidRPr="00360182">
              <w:t xml:space="preserve"> B pkt </w:t>
            </w:r>
            <w:r>
              <w:t>I</w:t>
            </w:r>
            <w:r w:rsidR="002E30B1">
              <w:t>I</w:t>
            </w:r>
            <w:r w:rsidRPr="00360182">
              <w:t>I.</w:t>
            </w:r>
            <w:r>
              <w:t>1b</w:t>
            </w:r>
            <w:r w:rsidRPr="00360182">
              <w:t>.</w:t>
            </w:r>
            <w:r>
              <w:t xml:space="preserve">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761C1B65" w14:textId="77777777" w:rsidR="00A52802" w:rsidRDefault="00A52802" w:rsidP="001A25AC">
            <w:r>
              <w:t>0 – 1* pkt</w:t>
            </w:r>
          </w:p>
        </w:tc>
      </w:tr>
      <w:tr w:rsidR="00A52802" w14:paraId="0F8EC16E" w14:textId="77777777" w:rsidTr="001A25AC">
        <w:trPr>
          <w:gridAfter w:val="2"/>
          <w:wAfter w:w="404" w:type="dxa"/>
          <w:trHeight w:val="1053"/>
        </w:trPr>
        <w:tc>
          <w:tcPr>
            <w:tcW w:w="1036" w:type="dxa"/>
            <w:gridSpan w:val="2"/>
          </w:tcPr>
          <w:p w14:paraId="3E438041" w14:textId="77777777" w:rsidR="00A52802" w:rsidRDefault="00A52802" w:rsidP="001A25AC">
            <w:pPr>
              <w:ind w:left="-98"/>
            </w:pPr>
            <w:r>
              <w:t>4.8</w:t>
            </w:r>
          </w:p>
        </w:tc>
        <w:tc>
          <w:tcPr>
            <w:tcW w:w="7078" w:type="dxa"/>
          </w:tcPr>
          <w:p w14:paraId="3E9C0133" w14:textId="77777777" w:rsidR="00A52802" w:rsidRDefault="00A52802" w:rsidP="001A25AC">
            <w:pPr>
              <w:jc w:val="both"/>
            </w:pPr>
            <w:r>
              <w:t xml:space="preserve">Dodatkowe benefity dla pracowników (p. mobilna aplikacja na telefon oraz inne funkcjonalności). Należy wymienić wszystkie oraz załączyć dokumenty ze szczególnym opisem – </w:t>
            </w:r>
            <w:r w:rsidRPr="00360182">
              <w:t xml:space="preserve">Części B </w:t>
            </w:r>
            <w:r>
              <w:t xml:space="preserve">V. </w:t>
            </w:r>
            <w:r w:rsidRPr="0007546A">
              <w:rPr>
                <w:sz w:val="20"/>
                <w:szCs w:val="20"/>
              </w:rPr>
              <w:t>Formularza Ofertowego</w:t>
            </w:r>
          </w:p>
        </w:tc>
        <w:tc>
          <w:tcPr>
            <w:tcW w:w="860" w:type="dxa"/>
          </w:tcPr>
          <w:p w14:paraId="01E6D53A" w14:textId="77777777" w:rsidR="00A52802" w:rsidRDefault="00A52802" w:rsidP="001A25AC">
            <w:r>
              <w:t>0 – 3* pkt</w:t>
            </w:r>
          </w:p>
        </w:tc>
      </w:tr>
      <w:tr w:rsidR="00A52802" w14:paraId="5EBDB48D" w14:textId="77777777" w:rsidTr="001A25AC">
        <w:trPr>
          <w:trHeight w:val="1053"/>
        </w:trPr>
        <w:tc>
          <w:tcPr>
            <w:tcW w:w="9378" w:type="dxa"/>
            <w:gridSpan w:val="6"/>
          </w:tcPr>
          <w:p w14:paraId="729F44A5" w14:textId="77777777" w:rsidR="00A52802" w:rsidRDefault="00A52802" w:rsidP="001A25AC">
            <w:pPr>
              <w:jc w:val="left"/>
            </w:pPr>
            <w:r>
              <w:t xml:space="preserve">* 1 pkt otrzymuje oferta o najwyższej wartości lub najdłuższym czasie </w:t>
            </w:r>
          </w:p>
          <w:p w14:paraId="63195ACF" w14:textId="77777777" w:rsidR="00A52802" w:rsidRDefault="00A52802" w:rsidP="001A25AC">
            <w:pPr>
              <w:jc w:val="left"/>
            </w:pPr>
            <w:r>
              <w:t>** za każdy benefit 1 punkt – maksymalna liczba punktów możliwych do uzyskania – 3 pkt.</w:t>
            </w:r>
          </w:p>
        </w:tc>
      </w:tr>
    </w:tbl>
    <w:p w14:paraId="2EC48101" w14:textId="77777777" w:rsidR="00A52802" w:rsidRDefault="00A52802" w:rsidP="00A52802">
      <w:pPr>
        <w:ind w:left="708"/>
        <w:jc w:val="both"/>
      </w:pPr>
    </w:p>
    <w:p w14:paraId="4395DFE6" w14:textId="77777777" w:rsidR="00A52802" w:rsidRDefault="00A52802" w:rsidP="00A52802">
      <w:pPr>
        <w:jc w:val="both"/>
      </w:pPr>
      <w:r>
        <w:t xml:space="preserve">Wyboru dokonuje się także mając na uwadze najlepiej rozumiany interes osób zatrudnionych. </w:t>
      </w:r>
    </w:p>
    <w:p w14:paraId="67BB60E8" w14:textId="77777777" w:rsidR="00A52802" w:rsidRDefault="00A52802" w:rsidP="00A52802">
      <w:pPr>
        <w:jc w:val="both"/>
      </w:pPr>
    </w:p>
    <w:p w14:paraId="1A8182C5" w14:textId="77777777" w:rsidR="00A52802" w:rsidRDefault="00A52802" w:rsidP="00A52802">
      <w:pPr>
        <w:jc w:val="both"/>
      </w:pPr>
      <w:r>
        <w:t xml:space="preserve">3. Oferty zostaną sklasyfikowane zgodnie z liczbą uzyskanych punktów. </w:t>
      </w:r>
    </w:p>
    <w:p w14:paraId="758274EA" w14:textId="77777777" w:rsidR="00A52802" w:rsidRDefault="00A52802" w:rsidP="00A52802">
      <w:pPr>
        <w:jc w:val="both"/>
      </w:pPr>
      <w:r>
        <w:t xml:space="preserve">4. Jeżeli nie będzie można wybrać oferty najkorzystniejszej z uwagi na uzyskanie takiej samej liczby punktów przez dwie lub więcej ofert, Zamawiający spośród tych ofert wybiera ofertę z najniższym wynagrodzeniem stałym za zarządzenie PPK. </w:t>
      </w:r>
    </w:p>
    <w:p w14:paraId="28CC1B70" w14:textId="77777777" w:rsidR="00A52802" w:rsidRPr="002E30B1" w:rsidRDefault="00A52802" w:rsidP="00A52802">
      <w:pPr>
        <w:jc w:val="both"/>
      </w:pPr>
      <w:r>
        <w:t xml:space="preserve">5. Jeżeli zostały złożone oferty o takiej samej wartości wynagrodzenia stałego za zarządzanie PPK, wówczas Zamawiający wybiera ofertę z najniższym wynagrodzeniem zmiennym za osiągnięty wynik. 6. Jeżeli zostały złożone oferty o takiej samej wartości wynagrodzenia zmiennego za osiągnięty wynik, wówczas Zamawiający wezwie Wykonawców, którzy złożyli porównywalne oferty, do złożenia ofert </w:t>
      </w:r>
      <w:r w:rsidRPr="002E30B1">
        <w:t xml:space="preserve">dodatkowych przez Zamawiającego w określonym terminie. </w:t>
      </w:r>
    </w:p>
    <w:p w14:paraId="394556DA" w14:textId="77777777" w:rsidR="00A52802" w:rsidRDefault="00A52802" w:rsidP="00A52802">
      <w:pPr>
        <w:jc w:val="both"/>
      </w:pPr>
      <w:r w:rsidRPr="002E30B1">
        <w:t>7. Wykonawcy składając oferty dodatkowe nie mogą zaoferować wynagrodzenia stałego i zmiennego wyższego niż zaoferowano w złożonych ofertach.</w:t>
      </w:r>
    </w:p>
    <w:p w14:paraId="3421C7C2" w14:textId="77777777" w:rsidR="00CF7C7B" w:rsidRDefault="00CF7C7B"/>
    <w:sectPr w:rsidR="00CF7C7B" w:rsidSect="00CF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802"/>
    <w:rsid w:val="00044DB9"/>
    <w:rsid w:val="001C0D8E"/>
    <w:rsid w:val="002E30B1"/>
    <w:rsid w:val="004E7F1B"/>
    <w:rsid w:val="00842828"/>
    <w:rsid w:val="00952B58"/>
    <w:rsid w:val="00A52802"/>
    <w:rsid w:val="00CF7C7B"/>
    <w:rsid w:val="00D34E1A"/>
    <w:rsid w:val="00F10F23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630E"/>
  <w15:docId w15:val="{9E5DBCE8-180A-4D89-A6F9-F81568C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Maria</cp:lastModifiedBy>
  <cp:revision>2</cp:revision>
  <cp:lastPrinted>2021-03-01T10:40:00Z</cp:lastPrinted>
  <dcterms:created xsi:type="dcterms:W3CDTF">2021-03-01T09:57:00Z</dcterms:created>
  <dcterms:modified xsi:type="dcterms:W3CDTF">2021-03-02T23:02:00Z</dcterms:modified>
</cp:coreProperties>
</file>